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F08EEC" w14:textId="77777777" w:rsidR="00BC5798" w:rsidRPr="009B73A3" w:rsidRDefault="00BC5798" w:rsidP="009B73A3">
      <w:pPr>
        <w:spacing w:before="57" w:after="0" w:line="22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</w:p>
    <w:p w14:paraId="4BA7E5A0" w14:textId="77777777" w:rsidR="00BC5798" w:rsidRPr="009B73A3" w:rsidRDefault="00BC5798" w:rsidP="009B73A3">
      <w:pPr>
        <w:spacing w:after="0" w:line="30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pacing w:val="-17"/>
          <w:sz w:val="18"/>
          <w:szCs w:val="18"/>
          <w:lang w:val="en-US" w:eastAsia="ru-RU"/>
        </w:rPr>
        <w:t>AGE-RELATED CHANGES OF HEMORHEOLOGICAL STATUS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color w:val="AA02A3"/>
          <w:spacing w:val="-17"/>
          <w:sz w:val="18"/>
          <w:szCs w:val="18"/>
          <w:lang w:val="en-US" w:eastAsia="ru-RU"/>
        </w:rPr>
        <w:t>AGE-RELATED CHANGES OF HEMORHEOLOGICAL STATUS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03210891" w14:textId="10114219" w:rsidR="00BC5798" w:rsidRPr="009B73A3" w:rsidRDefault="00BC5798" w:rsidP="009B73A3">
      <w:pPr>
        <w:spacing w:before="57" w:after="0" w:line="24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i/>
          <w:iCs/>
          <w:vanish/>
          <w:sz w:val="18"/>
          <w:szCs w:val="18"/>
          <w:lang w:val="en-US" w:eastAsia="ru-RU"/>
        </w:rPr>
        <w:t>EE Bitkova,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vanish/>
          <w:sz w:val="18"/>
          <w:szCs w:val="18"/>
          <w:lang w:val="en-US" w:eastAsia="ru-RU"/>
        </w:rPr>
        <w:t>KK Ilyashenko, VB Khvatov, A.Yu.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7522A6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E</w:t>
      </w:r>
      <w:r w:rsidR="007E4B29"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.</w:t>
      </w:r>
      <w:r w:rsidR="00B47E74"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Y</w:t>
      </w:r>
      <w:r w:rsidR="007E4B29"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 xml:space="preserve"> Bitkova, K</w:t>
      </w:r>
      <w:r w:rsidR="0029192A"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K</w:t>
      </w:r>
      <w:r w:rsidR="0029192A"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 xml:space="preserve"> Ilyashenko, V</w:t>
      </w:r>
      <w:r w:rsidR="0029192A"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B</w:t>
      </w:r>
      <w:r w:rsidR="0029192A"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 xml:space="preserve"> Khvatov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 A</w:t>
      </w:r>
      <w:r w:rsidR="00B47E7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.Y</w:t>
      </w:r>
      <w:r w:rsidR="0029192A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vanish/>
          <w:sz w:val="18"/>
          <w:szCs w:val="18"/>
          <w:lang w:val="en-US" w:eastAsia="ru-RU"/>
        </w:rPr>
        <w:t>Simonova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val="en-US" w:eastAsia="ru-RU"/>
        </w:rPr>
        <w:t>Simonova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25524332" w14:textId="77777777" w:rsidR="00BC5798" w:rsidRPr="009B73A3" w:rsidRDefault="00BC5798" w:rsidP="009B73A3">
      <w:pPr>
        <w:spacing w:before="57" w:after="0" w:line="18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vanish/>
          <w:sz w:val="18"/>
          <w:szCs w:val="18"/>
          <w:lang w:val="en-US" w:eastAsia="ru-RU"/>
        </w:rPr>
        <w:t>NV Sklifosovsky Research Institute for Emergency Medicine of the Moscow Healthcare Department, Moscow, Russian Federation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N</w:t>
      </w:r>
      <w:r w:rsidR="0029192A"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V</w:t>
      </w:r>
      <w:r w:rsidR="0029192A"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 Sklifosovsky Research Institute for Emergency Medicine of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Moscow Healthcare Department, Moscow, Russian Federation </w:t>
      </w:r>
    </w:p>
    <w:p w14:paraId="5FE8A88F" w14:textId="77777777" w:rsidR="00BC5798" w:rsidRPr="009B73A3" w:rsidRDefault="00BC5798" w:rsidP="009B73A3">
      <w:pPr>
        <w:spacing w:before="57" w:after="0" w:line="22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 </w:t>
      </w:r>
    </w:p>
    <w:p w14:paraId="7B976D28" w14:textId="77777777" w:rsidR="00BC5798" w:rsidRPr="009B73A3" w:rsidRDefault="00BC5798" w:rsidP="009B73A3">
      <w:pPr>
        <w:spacing w:before="57" w:after="0" w:line="22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  <w:t> </w:t>
      </w:r>
    </w:p>
    <w:tbl>
      <w:tblPr>
        <w:tblW w:w="0" w:type="auto"/>
        <w:tblInd w:w="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6"/>
        <w:gridCol w:w="6849"/>
      </w:tblGrid>
      <w:tr w:rsidR="00BC5798" w:rsidRPr="009B73A3" w14:paraId="391034FC" w14:textId="77777777" w:rsidTr="00BC5798">
        <w:trPr>
          <w:trHeight w:val="544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7B43975B" w14:textId="77777777" w:rsidR="00BC5798" w:rsidRPr="009B73A3" w:rsidRDefault="00BC5798" w:rsidP="009B73A3">
            <w:pPr>
              <w:spacing w:before="113" w:after="57" w:line="2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b/>
                <w:bCs/>
                <w:caps/>
                <w:vanish/>
                <w:color w:val="AA02A3"/>
                <w:sz w:val="18"/>
                <w:szCs w:val="18"/>
                <w:lang w:eastAsia="ru-RU"/>
              </w:rPr>
              <w:t>Abstract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9B73A3">
              <w:rPr>
                <w:rFonts w:ascii="Times New Roman" w:eastAsia="Times New Roman" w:hAnsi="Times New Roman" w:cs="Times New Roman"/>
                <w:b/>
                <w:bCs/>
                <w:caps/>
                <w:color w:val="AA02A3"/>
                <w:sz w:val="18"/>
                <w:szCs w:val="18"/>
                <w:lang w:eastAsia="ru-RU"/>
              </w:rPr>
              <w:t>Abstract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6B1279C3" w14:textId="77777777" w:rsidR="00BC5798" w:rsidRPr="009B73A3" w:rsidRDefault="00BC5798" w:rsidP="009B73A3">
            <w:pPr>
              <w:spacing w:before="113" w:after="57" w:line="2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b/>
                <w:bCs/>
                <w:caps/>
                <w:color w:val="AA02A3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06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ED629D9" w14:textId="77777777" w:rsidR="00BC5798" w:rsidRPr="009B73A3" w:rsidRDefault="00BC5798" w:rsidP="009B73A3">
            <w:pPr>
              <w:spacing w:after="0" w:line="2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The paper presents the results of hemorheological parameters and coagulation study in 67 volunteers of three age group s, including young, middle-aged and elderly people.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The paper presents the results of hemorheological parameters and coagulation study in 6</w:t>
            </w:r>
            <w:r w:rsidR="0029192A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7 volunteers of three age group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s, including young, middle-aged and elderly people.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Studies have shown that values of the vast number of blood rheological parameters increase with advancing age, which is mostly significant after 60 years.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Studies have shown that values ​​of the vast number of blood rheological parameters increase with advancing age, which is mostly significant after 60 years.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Based on the findings, it is concluded that the presented results of hemorheological parameters studies in patients older than 60 years should be used as a comparison group in evaluation of the disease severity and the effectiveness of treatment for geriatric patients.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Based on the findings, it is concluded that the presented results of hemorheological parameters studies in patients older than 60 years should be used as a comparison group in evaluation of the disease severity and the effectiveness of treatment for geriatric patients. </w:t>
            </w:r>
          </w:p>
        </w:tc>
      </w:tr>
      <w:tr w:rsidR="00BC5798" w:rsidRPr="009B73A3" w14:paraId="78B38637" w14:textId="77777777" w:rsidTr="00BC5798">
        <w:trPr>
          <w:trHeight w:val="322"/>
          <w:hidden/>
        </w:trPr>
        <w:tc>
          <w:tcPr>
            <w:tcW w:w="2711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3DCD8881" w14:textId="77777777" w:rsidR="00BC5798" w:rsidRPr="009B73A3" w:rsidRDefault="00BC5798" w:rsidP="009B73A3">
            <w:pPr>
              <w:spacing w:after="0" w:line="2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b/>
                <w:bCs/>
                <w:vanish/>
                <w:sz w:val="18"/>
                <w:szCs w:val="18"/>
                <w:lang w:val="en-US" w:eastAsia="ru-RU"/>
              </w:rPr>
              <w:t>Keywords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 </w:t>
            </w:r>
            <w:r w:rsidRPr="009B73A3">
              <w:rPr>
                <w:rFonts w:ascii="Times New Roman" w:eastAsia="Times New Roman" w:hAnsi="Times New Roman" w:cs="Times New Roman"/>
                <w:b/>
                <w:bCs/>
                <w:vanish/>
                <w:sz w:val="18"/>
                <w:szCs w:val="18"/>
                <w:lang w:val="en-US" w:eastAsia="ru-RU"/>
              </w:rPr>
              <w:t>: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Pr="009B73A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Keywords: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062" w:type="dxa"/>
            <w:tcMar>
              <w:top w:w="80" w:type="dxa"/>
              <w:left w:w="80" w:type="dxa"/>
              <w:bottom w:w="80" w:type="dxa"/>
              <w:right w:w="80" w:type="dxa"/>
            </w:tcMar>
            <w:hideMark/>
          </w:tcPr>
          <w:p w14:paraId="10FA985B" w14:textId="77777777" w:rsidR="00BC5798" w:rsidRPr="009B73A3" w:rsidRDefault="00BC5798" w:rsidP="009B73A3">
            <w:pPr>
              <w:spacing w:after="0" w:line="200" w:lineRule="atLeast"/>
              <w:ind w:firstLine="7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hemorheological paramete rs, elderly volunteers.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hemorheological paramete rs, elderly volunteers. </w:t>
            </w:r>
          </w:p>
        </w:tc>
      </w:tr>
    </w:tbl>
    <w:p w14:paraId="1A30DDCD" w14:textId="77777777" w:rsidR="004F19D9" w:rsidRPr="009B73A3" w:rsidRDefault="0029192A" w:rsidP="009B73A3">
      <w:pPr>
        <w:spacing w:before="57" w:after="0" w:line="220" w:lineRule="atLeast"/>
        <w:ind w:firstLine="709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APTT 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activated partial thrombin time</w:t>
      </w:r>
    </w:p>
    <w:p w14:paraId="5FB9B1A6" w14:textId="77777777" w:rsidR="009B73A3" w:rsidRDefault="004F19D9" w:rsidP="009B73A3">
      <w:pPr>
        <w:spacing w:before="57" w:after="0" w:line="220" w:lineRule="atLeast"/>
        <w:ind w:firstLine="709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INR 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international normalized ratio</w:t>
      </w:r>
    </w:p>
    <w:p w14:paraId="71E125A3" w14:textId="77777777" w:rsidR="009B73A3" w:rsidRDefault="004F19D9" w:rsidP="009B73A3">
      <w:pPr>
        <w:spacing w:before="57" w:after="0" w:line="220" w:lineRule="atLeast"/>
        <w:ind w:firstLine="709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RBC</w:t>
      </w:r>
      <w:r w:rsidR="003C68EF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A</w:t>
      </w:r>
      <w:r w:rsidR="0029192A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29192A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29192A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red blood cells aggregation at rest</w:t>
      </w:r>
    </w:p>
    <w:p w14:paraId="656DD37A" w14:textId="77777777" w:rsidR="00BC5798" w:rsidRPr="009B73A3" w:rsidRDefault="004F19D9" w:rsidP="009B73A3">
      <w:pPr>
        <w:spacing w:before="57" w:after="0" w:line="220" w:lineRule="atLeast"/>
        <w:ind w:firstLine="709"/>
        <w:rPr>
          <w:rFonts w:ascii="Times New Roman" w:hAnsi="Times New Roman" w:cs="Times New Roman"/>
          <w:color w:val="222222"/>
          <w:sz w:val="18"/>
          <w:szCs w:val="18"/>
          <w:lang w:val="en"/>
        </w:rPr>
      </w:pP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RBC</w:t>
      </w:r>
      <w:r w:rsidR="003C68EF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A</w:t>
      </w:r>
      <w:r w:rsidRPr="009B73A3">
        <w:rPr>
          <w:rFonts w:ascii="Times New Roman" w:hAnsi="Times New Roman" w:cs="Times New Roman"/>
          <w:color w:val="222222"/>
          <w:sz w:val="18"/>
          <w:szCs w:val="18"/>
          <w:vertAlign w:val="subscript"/>
          <w:lang w:val="en"/>
        </w:rPr>
        <w:t>1</w:t>
      </w:r>
      <w:r w:rsidR="0029192A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29192A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29192A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red blood cells aggregation during exercise</w:t>
      </w:r>
      <w:r w:rsidR="0029192A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br/>
      </w:r>
    </w:p>
    <w:p w14:paraId="4156D380" w14:textId="77777777" w:rsidR="00BC5798" w:rsidRPr="009B73A3" w:rsidRDefault="00BC5798" w:rsidP="009B73A3">
      <w:pPr>
        <w:spacing w:after="0" w:line="22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АЧТВ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активированное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частичное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тромбиновое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время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3AFCA9B8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Процесс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старения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тема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над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которой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вынуждено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задуматься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человечество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пожилая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часть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которого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aging process is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 topic 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humanity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has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to think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over.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People over 60 years 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most rapidly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growing population group.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данным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Госкомстата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60–69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70–79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населения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нашей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страны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мужчин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женщин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выросли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сравнению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концом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80-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гг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According to the </w:t>
      </w:r>
      <w:r w:rsidR="006361E3" w:rsidRPr="009B73A3">
        <w:rPr>
          <w:rFonts w:ascii="Times New Roman" w:hAnsi="Times New Roman" w:cs="Times New Roman"/>
          <w:b/>
          <w:bCs/>
          <w:sz w:val="18"/>
          <w:szCs w:val="18"/>
          <w:lang w:val="en"/>
        </w:rPr>
        <w:t>Russian Federal State Statistics Service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 the age groups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60-69 years and 70-79 years, (both men and women)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have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grown compared</w:t>
      </w:r>
      <w:r w:rsidR="00515D3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with the end of the 80s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the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столетия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5,6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млн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человек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[1].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6361E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XX century by 5.6 million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[1].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связи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особую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актуальность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представляют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сведения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гомеостаза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учетом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хронической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патологии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лиц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пожилого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старческого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использования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качестве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оценке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эффективности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стационарного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лечения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данной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категории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ургентных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состояниях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this regard</w:t>
      </w:r>
      <w:r w:rsidR="00272B7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 indicators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homeostasis (including chronic and age-related </w:t>
      </w:r>
      <w:r w:rsidR="0066270A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disease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) in elderly </w:t>
      </w:r>
      <w:r w:rsidR="000B64E6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and senile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individuals </w:t>
      </w:r>
      <w:r w:rsidR="000B64E6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are actual to be used to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use them as a comparison group to assess the effectiveness of hospital treatment of this category of patients </w:t>
      </w:r>
      <w:r w:rsidR="000B64E6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urgent conditions. </w:t>
      </w:r>
    </w:p>
    <w:p w14:paraId="0A07D7FB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правило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геронтологических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степени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отмечается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поражение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кровеносных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сосудов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свою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очередь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отражается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реологии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As a rule, </w:t>
      </w:r>
      <w:r w:rsidR="000B64E6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lesion of blood vessels of varying degree is observed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 geriatr</w:t>
      </w:r>
      <w:r w:rsidR="000B64E6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ic patients in varying degrees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and </w:t>
      </w:r>
      <w:r w:rsidR="000B64E6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this is reflected in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changes of blood rheology.</w:t>
      </w:r>
      <w:r w:rsidR="000B64E6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Многие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современные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работы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подтверждают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взаимосвязь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между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текучестью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тяжестью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сердечно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сосудистых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проблем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хотя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причинно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следственная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связь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здесь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всегда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очевидна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[2–4].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Many contemporary works confirm the relationship between blood flow and the severity of cardiovascular problems, although a causal relationship is not always obvious</w:t>
      </w:r>
      <w:r w:rsidR="00272B7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here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[2-4]. </w:t>
      </w:r>
    </w:p>
    <w:p w14:paraId="69F56D61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реологических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свойств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зависит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эффективность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кровотока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тканевой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перфузии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стало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предметом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обширных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исследований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уже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первой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половине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века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[5].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272B7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he efficiency of blood flow and tissue perfusion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depend on blood r</w:t>
      </w:r>
      <w:r w:rsidR="00272B7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heology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 which had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been the subject of extensive research in the firs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 half of the twentieth century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[5]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Некоторые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авторы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оценке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микроциркуляции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особое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нарушениях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придают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изменениям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деформирующих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агрегационных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свойств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эритроцитов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которые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проявляются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любом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уровне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гематокрита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сосудах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любого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диаметра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нарушения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напрямую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связывают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тканевыми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процессами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обмена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кислорода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[6–10].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Analyzing microcirculation, 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ome authors 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find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changes 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deformation and aggregation properties of red blood cells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particular important among blood viscosity disorders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which appear at any level of hematocrit in the blood vessels of any size, and these disorders are directly associated with </w:t>
      </w:r>
      <w:r w:rsidR="00587AF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tissue oxygen exchange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[6-10]. </w:t>
      </w:r>
    </w:p>
    <w:p w14:paraId="07722118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текучесть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оказывают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влияние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нарушения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гемостатических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A795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Violation of hemostatic parameters also affect flow properties of blood. R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heology and hemo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стаз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составляют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единую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систему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обеспечивающую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способность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течению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всех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уровнях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[11].</w:t>
      </w:r>
      <w:r w:rsidR="001A795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stasis, which carry out functions in a single blood stream,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form a single system that provides the ability of blood to flow at all levels [11]. </w:t>
      </w:r>
    </w:p>
    <w:p w14:paraId="406C5D0D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vanish/>
          <w:sz w:val="18"/>
          <w:szCs w:val="18"/>
          <w:lang w:eastAsia="ru-RU"/>
        </w:rPr>
        <w:t>Цель</w:t>
      </w:r>
      <w:r w:rsidRPr="009B73A3">
        <w:rPr>
          <w:rFonts w:ascii="Times New Roman" w:eastAsia="Times New Roman" w:hAnsi="Times New Roman" w:cs="Times New Roman"/>
          <w:b/>
          <w:bCs/>
          <w:vanish/>
          <w:sz w:val="18"/>
          <w:szCs w:val="18"/>
          <w:lang w:val="en-US" w:eastAsia="ru-RU"/>
        </w:rPr>
        <w:t>: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оценить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гемореологический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статус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некоторые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гемостаза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практически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здоровых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добровольцев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точки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зрения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 xml:space="preserve">Objective: </w:t>
      </w:r>
      <w:r w:rsidR="001A795E" w:rsidRPr="009B73A3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t</w:t>
      </w:r>
      <w:r w:rsidRPr="009B73A3">
        <w:rPr>
          <w:rFonts w:ascii="Times New Roman" w:eastAsia="Times New Roman" w:hAnsi="Times New Roman" w:cs="Times New Roman"/>
          <w:bCs/>
          <w:sz w:val="18"/>
          <w:szCs w:val="18"/>
          <w:lang w:val="en-US" w:eastAsia="ru-RU"/>
        </w:rPr>
        <w:t>o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evaluate the hemorheological status and some indicators of hemostasis in healthy volunteers in terms of age-related changes. </w:t>
      </w:r>
    </w:p>
    <w:p w14:paraId="183A9291" w14:textId="77777777" w:rsidR="00BC5798" w:rsidRPr="009B73A3" w:rsidRDefault="00BC5798" w:rsidP="009B73A3">
      <w:pPr>
        <w:spacing w:before="113" w:after="57" w:line="20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eastAsia="ru-RU"/>
        </w:rPr>
        <w:t>Материал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eastAsia="ru-RU"/>
        </w:rPr>
        <w:t>методы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color w:val="AA02A3"/>
          <w:sz w:val="18"/>
          <w:szCs w:val="18"/>
          <w:lang w:val="en-US" w:eastAsia="ru-RU"/>
        </w:rPr>
        <w:t>Material and Methods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1A158C29" w14:textId="04A7B0DD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исследование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включены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67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человек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(35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study included 67 people (35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мужчин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32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женщины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числа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сотрудников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скорой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помощи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men and 32 women) from among employ</w:t>
      </w:r>
      <w:r w:rsidR="004C57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ees</w:t>
      </w:r>
      <w:r w:rsidR="00D10FE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over 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60 year years</w:t>
      </w:r>
      <w:r w:rsidR="004C57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of the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N.V. Sklifosovsky</w:t>
      </w:r>
      <w:r w:rsidR="004C57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Resear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ch Institute for Emergency Medi</w:t>
      </w:r>
      <w:r w:rsidR="004C57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cine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donor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 of the Transfusion Department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(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head of the Department –</w:t>
      </w:r>
      <w:r w:rsidR="00D10FEE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E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.N. Kobzeva, Cand. Med. Scs.), who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were divided into 3 age groups.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вошли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22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добровольца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67±1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.,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ю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Group 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ncluded 22 volunteers aged 67±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1, 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Group 2 included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23 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volunteers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человека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которых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составил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47±1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.,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22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лиц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31±1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aged 47 ±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1, 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and the 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Group 3 included 22 volunteers aged</w:t>
      </w:r>
      <w:r w:rsidR="00B54CB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31±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1.</w:t>
      </w:r>
    </w:p>
    <w:p w14:paraId="47AEBF4F" w14:textId="55D081ED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реологии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определяли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венозной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Rheological parameters were determined in venous blood.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состояния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гемореологии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обследуемых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определяли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цельной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sym w:font="Symbol" w:char="F068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различных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скоростях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сдвига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 </w:t>
      </w:r>
      <w:r w:rsidRPr="009B73A3">
        <w:rPr>
          <w:rFonts w:ascii="Times New Roman" w:eastAsia="Times New Roman" w:hAnsi="Times New Roman" w:cs="Times New Roman"/>
          <w:vanish/>
          <w:spacing w:val="-45"/>
          <w:sz w:val="18"/>
          <w:szCs w:val="18"/>
          <w:lang w:eastAsia="ru-RU"/>
        </w:rPr>
        <w:sym w:font="Symbol" w:char="F06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11"/>
          <w:position w:val="6"/>
          <w:sz w:val="18"/>
          <w:szCs w:val="18"/>
          <w:lang w:eastAsia="ru-RU"/>
        </w:rPr>
        <w:sym w:font="Symbol" w:char="F0D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диапазоне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10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250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To assess the state of blood hemorheology 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measured whole blood viscosity </w:t>
      </w:r>
      <w:r w:rsidRPr="009B73A3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68"/>
      </w:r>
      <w:r w:rsidR="00D10FEE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at various shear rates (</w:t>
      </w:r>
      <w:r w:rsidR="00D10FEE" w:rsidRPr="00651EB2">
        <w:rPr>
          <w:rFonts w:ascii="Symbol" w:hAnsi="Symbol" w:cs="Symbol"/>
          <w:color w:val="000000"/>
          <w:spacing w:val="-45"/>
          <w:sz w:val="18"/>
          <w:szCs w:val="18"/>
        </w:rPr>
        <w:t></w:t>
      </w:r>
      <w:r w:rsidR="00D10FEE" w:rsidRPr="00651EB2">
        <w:rPr>
          <w:rFonts w:ascii="Symbol" w:hAnsi="Symbol" w:cs="Symbol"/>
          <w:color w:val="000000"/>
          <w:spacing w:val="11"/>
          <w:position w:val="6"/>
          <w:sz w:val="18"/>
          <w:szCs w:val="18"/>
        </w:rPr>
        <w:t>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)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between 10 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sec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-1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 250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sec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ротационном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АКР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-2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Россия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);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rotary viscometer AKR-2 (Russia);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вискоэластичность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-45"/>
          <w:sz w:val="18"/>
          <w:szCs w:val="18"/>
          <w:lang w:eastAsia="ru-RU"/>
        </w:rPr>
        <w:sym w:font="Symbol" w:char="F06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11"/>
          <w:position w:val="6"/>
          <w:sz w:val="18"/>
          <w:szCs w:val="18"/>
          <w:lang w:eastAsia="ru-RU"/>
        </w:rPr>
        <w:sym w:font="Symbol" w:char="F0D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62,8;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blood viscosity and viscoelasticity at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shear rates</w:t>
      </w:r>
      <w:r w:rsidR="005F167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D10FEE" w:rsidRPr="00651EB2">
        <w:rPr>
          <w:rFonts w:ascii="Symbol" w:hAnsi="Symbol" w:cs="Symbol"/>
          <w:color w:val="000000"/>
          <w:spacing w:val="-45"/>
          <w:sz w:val="18"/>
          <w:szCs w:val="18"/>
        </w:rPr>
        <w:t></w:t>
      </w:r>
      <w:r w:rsidR="00D10FEE" w:rsidRPr="00651EB2">
        <w:rPr>
          <w:rFonts w:ascii="Symbol" w:hAnsi="Symbol" w:cs="Symbol"/>
          <w:color w:val="000000"/>
          <w:spacing w:val="11"/>
          <w:position w:val="6"/>
          <w:sz w:val="18"/>
          <w:szCs w:val="18"/>
        </w:rPr>
        <w:t></w:t>
      </w:r>
      <w:r w:rsidR="00D10FEE">
        <w:rPr>
          <w:rFonts w:ascii="Symbol" w:hAnsi="Symbol" w:cs="Symbol"/>
          <w:color w:val="000000"/>
          <w:spacing w:val="11"/>
          <w:position w:val="6"/>
          <w:sz w:val="18"/>
          <w:szCs w:val="18"/>
        </w:rPr>
        <w:t>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12,6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2,5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-1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капиллярном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i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оР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r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о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filer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США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6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2.8; 12.6;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2.5 s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ec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-1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were measured by the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capillary viscometer </w:t>
      </w:r>
      <w:r w:rsidR="003C68EF"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BioP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rofiler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(USA).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Индексы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агрегации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эритроцитов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ИАм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движении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ИАм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vertAlign w:val="subscript"/>
          <w:lang w:val="en-US" w:eastAsia="ru-RU"/>
        </w:rPr>
        <w:t>1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) [12]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фиксировали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агрегометре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MA-1 (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Myrenne GmbH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Германия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коллаген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индуцированную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агрегацию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тромбоцитов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агрегометре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hronolog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модель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590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США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indices of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red blood cells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aggregation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at rest (</w:t>
      </w:r>
      <w:r w:rsidR="003C68EF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RBCA)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and </w:t>
      </w:r>
      <w:r w:rsidR="003C68EF" w:rsidRPr="001A759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during exercise</w:t>
      </w:r>
      <w:r w:rsidRPr="001A7592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(</w:t>
      </w:r>
      <w:r w:rsidR="003C68EF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RBCA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vertAlign w:val="subscript"/>
          <w:lang w:val="en" w:eastAsia="ru-RU"/>
        </w:rPr>
        <w:t>1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" w:eastAsia="ru-RU"/>
        </w:rPr>
        <w:t xml:space="preserve">)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[12]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were measured by the aggregometer MA-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(Myrenne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GmbH, Germany), collagen-induced platelet aggregation </w:t>
      </w:r>
      <w:r w:rsidR="003C68EF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="003C68EF"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C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hronolog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aggregometer, model 590 (USA).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Гематокрит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определяли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гематологическом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анализаторе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Act diff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Beckman Coulter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США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концентрацию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фибриногена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международное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нормализованное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отношение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активированное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частичное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тромбиновое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время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АЧТВ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)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коагулометре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S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1500 (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Sysmex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Япония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Hematocrit was measured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 the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hematology analyzer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Act diff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2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Beckman Coulter (US</w:t>
      </w:r>
      <w:r w:rsidR="003C68EF"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A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),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fibrinogen concentration, international normalized ratio (INR), activated partial thrombin time (APTT) </w:t>
      </w:r>
      <w:r w:rsidR="003C68EF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were measured by the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coagulometer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SA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1500 </w:t>
      </w:r>
      <w:r w:rsidR="003C68EF"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(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Sysmex,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Japan).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Статистическую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обработку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результатов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проводили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методом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вариационной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расчетом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критерия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значимости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различий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Стьюденту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Statistical processing of results was carried out by the method of variation statistics </w:t>
      </w:r>
      <w:r w:rsidR="00821628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using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significance </w:t>
      </w:r>
      <w:r w:rsidR="00821628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Student test. T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he level of statistical significance </w:t>
      </w:r>
      <w:r w:rsidR="00821628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was </w:t>
      </w:r>
      <w:r w:rsidR="00821628"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p ≤0.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05.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15EE1F4E" w14:textId="77777777" w:rsidR="00BC5798" w:rsidRPr="009B73A3" w:rsidRDefault="00BC5798" w:rsidP="009B73A3">
      <w:pPr>
        <w:spacing w:before="113" w:after="57" w:line="20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eastAsia="ru-RU"/>
        </w:rPr>
        <w:t>Результаты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eastAsia="ru-RU"/>
        </w:rPr>
        <w:t>обсуждение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color w:val="AA02A3"/>
          <w:sz w:val="18"/>
          <w:szCs w:val="18"/>
          <w:lang w:val="en-US" w:eastAsia="ru-RU"/>
        </w:rPr>
        <w:t>Results and discussion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6B33B280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Сравнительная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характеристика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параметров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геморео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Comparative characteristic of</w:t>
      </w:r>
      <w:r w:rsidR="00821628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h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emor</w:t>
      </w:r>
      <w:r w:rsidR="00821628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eo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softHyphen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логического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статуса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свертывающей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системы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обследованных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представлена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табл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logical status </w:t>
      </w:r>
      <w:r w:rsidR="00821628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and coagulation of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examined patients</w:t>
      </w:r>
      <w:r w:rsidR="00821628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is presented in Table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1.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1. </w:t>
      </w:r>
    </w:p>
    <w:p w14:paraId="3953B70F" w14:textId="77777777" w:rsidR="00BC5798" w:rsidRPr="009B73A3" w:rsidRDefault="00BC5798" w:rsidP="009B73A3">
      <w:pPr>
        <w:spacing w:after="0" w:line="28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i/>
          <w:iCs/>
          <w:vanish/>
          <w:spacing w:val="21"/>
          <w:sz w:val="18"/>
          <w:szCs w:val="18"/>
          <w:lang w:eastAsia="ru-RU"/>
        </w:rPr>
        <w:t>Таблица</w:t>
      </w:r>
      <w:r w:rsidRPr="009B73A3">
        <w:rPr>
          <w:rFonts w:ascii="Times New Roman" w:eastAsia="Times New Roman" w:hAnsi="Times New Roman" w:cs="Times New Roman"/>
          <w:i/>
          <w:iCs/>
          <w:vanish/>
          <w:spacing w:val="21"/>
          <w:sz w:val="18"/>
          <w:szCs w:val="18"/>
          <w:lang w:val="en-US" w:eastAsia="ru-RU"/>
        </w:rPr>
        <w:t xml:space="preserve"> 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i/>
          <w:iCs/>
          <w:spacing w:val="21"/>
          <w:sz w:val="18"/>
          <w:szCs w:val="18"/>
          <w:lang w:val="en-US" w:eastAsia="ru-RU"/>
        </w:rPr>
        <w:t>Table 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5BA29D47" w14:textId="77777777" w:rsidR="00BC5798" w:rsidRPr="009B73A3" w:rsidRDefault="00BC5798" w:rsidP="009B73A3">
      <w:pPr>
        <w:spacing w:after="0" w:line="20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Сравнительная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оценка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параметров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реологии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свертывающей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системы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разных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возрастных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vanish/>
          <w:color w:val="AB04A4"/>
          <w:sz w:val="18"/>
          <w:szCs w:val="18"/>
          <w:lang w:eastAsia="ru-RU"/>
        </w:rPr>
        <w:t>группах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olor w:val="AB04A4"/>
          <w:sz w:val="18"/>
          <w:szCs w:val="18"/>
          <w:lang w:val="en-US" w:eastAsia="ru-RU"/>
        </w:rPr>
        <w:t>Comparative evaluat</w:t>
      </w:r>
      <w:r w:rsidR="00821628" w:rsidRPr="009B73A3">
        <w:rPr>
          <w:rFonts w:ascii="Times New Roman" w:eastAsia="Times New Roman" w:hAnsi="Times New Roman" w:cs="Times New Roman"/>
          <w:b/>
          <w:bCs/>
          <w:color w:val="AB04A4"/>
          <w:sz w:val="18"/>
          <w:szCs w:val="18"/>
          <w:lang w:val="en-US" w:eastAsia="ru-RU"/>
        </w:rPr>
        <w:t>ion of rheological parameters and</w:t>
      </w:r>
      <w:r w:rsidRPr="009B73A3">
        <w:rPr>
          <w:rFonts w:ascii="Times New Roman" w:eastAsia="Times New Roman" w:hAnsi="Times New Roman" w:cs="Times New Roman"/>
          <w:b/>
          <w:bCs/>
          <w:color w:val="AB04A4"/>
          <w:sz w:val="18"/>
          <w:szCs w:val="18"/>
          <w:lang w:val="en-US" w:eastAsia="ru-RU"/>
        </w:rPr>
        <w:t xml:space="preserve"> blood coagulation in different age groups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1"/>
        <w:gridCol w:w="1050"/>
        <w:gridCol w:w="1870"/>
        <w:gridCol w:w="1738"/>
        <w:gridCol w:w="1620"/>
        <w:gridCol w:w="1620"/>
      </w:tblGrid>
      <w:tr w:rsidR="00BC5798" w:rsidRPr="009B73A3" w14:paraId="1C00F24A" w14:textId="77777777" w:rsidTr="00BC5798">
        <w:trPr>
          <w:trHeight w:val="60"/>
          <w:hidden/>
        </w:trPr>
        <w:tc>
          <w:tcPr>
            <w:tcW w:w="4678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8789D0A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Параметры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821628"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Parameters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14:paraId="162D3FDC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24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0F78960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Группы обследованных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821628"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Groups </w:t>
            </w:r>
          </w:p>
          <w:p w14:paraId="135E1965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C5798" w:rsidRPr="009B73A3" w14:paraId="52773943" w14:textId="77777777" w:rsidTr="00BC5798">
        <w:trPr>
          <w:trHeight w:val="60"/>
        </w:trPr>
        <w:tc>
          <w:tcPr>
            <w:tcW w:w="0" w:type="auto"/>
            <w:gridSpan w:val="3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B5BB601" w14:textId="77777777" w:rsidR="00BC5798" w:rsidRPr="009B73A3" w:rsidRDefault="00BC5798" w:rsidP="009B73A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8623C40" w14:textId="77777777" w:rsidR="00BC5798" w:rsidRPr="009B73A3" w:rsidRDefault="00BC5798" w:rsidP="009B73A3">
            <w:pPr>
              <w:spacing w:after="0" w:line="160" w:lineRule="atLeast"/>
              <w:ind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1-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я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821628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1</w:t>
            </w:r>
          </w:p>
          <w:p w14:paraId="2BAE2EB4" w14:textId="77777777" w:rsidR="00BC5798" w:rsidRPr="009B73A3" w:rsidRDefault="00BC5798" w:rsidP="009B73A3">
            <w:pPr>
              <w:spacing w:after="0" w:line="160" w:lineRule="atLeast"/>
              <w:ind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lastRenderedPageBreak/>
              <w:t xml:space="preserve">(60–84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г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.)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821628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(60-84 years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44285DB" w14:textId="77777777" w:rsidR="00BC5798" w:rsidRPr="009B73A3" w:rsidRDefault="00BC5798" w:rsidP="009B73A3">
            <w:pPr>
              <w:spacing w:after="0" w:line="160" w:lineRule="atLeast"/>
              <w:ind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lastRenderedPageBreak/>
              <w:t>2-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я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821628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</w:t>
            </w:r>
          </w:p>
          <w:p w14:paraId="171613EE" w14:textId="77777777" w:rsidR="00BC5798" w:rsidRPr="009B73A3" w:rsidRDefault="00BC5798" w:rsidP="009B73A3">
            <w:pPr>
              <w:spacing w:after="0" w:line="160" w:lineRule="atLeast"/>
              <w:ind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lastRenderedPageBreak/>
              <w:t xml:space="preserve">(40–59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лет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)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(40-59 years)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5073E1E" w14:textId="77777777" w:rsidR="00BC5798" w:rsidRPr="009B73A3" w:rsidRDefault="00BC5798" w:rsidP="009B73A3">
            <w:pPr>
              <w:spacing w:after="0" w:line="160" w:lineRule="atLeast"/>
              <w:ind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lastRenderedPageBreak/>
              <w:t>3-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я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821628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3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41E6E8A1" w14:textId="77777777" w:rsidR="00BC5798" w:rsidRPr="009B73A3" w:rsidRDefault="00BC5798" w:rsidP="009B73A3">
            <w:pPr>
              <w:spacing w:after="0" w:line="160" w:lineRule="atLeast"/>
              <w:ind w:firstLine="13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lastRenderedPageBreak/>
              <w:t xml:space="preserve">(21–39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лет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)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(21-39 years) </w:t>
            </w:r>
          </w:p>
        </w:tc>
      </w:tr>
      <w:tr w:rsidR="00BC5798" w:rsidRPr="009B73A3" w14:paraId="1B73F22B" w14:textId="77777777" w:rsidTr="00BC5798">
        <w:trPr>
          <w:trHeight w:val="60"/>
          <w:hidden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2DC91D6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lastRenderedPageBreak/>
              <w:t>Скорость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сдвига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,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с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vertAlign w:val="superscript"/>
                <w:lang w:val="en-US" w:eastAsia="ru-RU"/>
              </w:rPr>
              <w:t>-1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Shear rate, sec</w:t>
            </w:r>
            <w:r w:rsidR="00821628" w:rsidRPr="009B73A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-1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</w:p>
          <w:p w14:paraId="22D3980F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A7D3EB5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250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250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1DB75A1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Вязкость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крови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,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мПа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·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с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Blood viscosity, mPa x sec</w:t>
            </w:r>
          </w:p>
          <w:p w14:paraId="7B3C6D16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831EFC2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5,22±0,14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5.22 ±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EC7CE9B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4,83±0,16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4.83±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24DBDB8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5,0±0,16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5.0±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</w:t>
            </w:r>
          </w:p>
        </w:tc>
      </w:tr>
      <w:tr w:rsidR="00BC5798" w:rsidRPr="009B73A3" w14:paraId="014AC355" w14:textId="77777777" w:rsidTr="00BC579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1E298C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22CB61B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10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10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852DFE9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E64A6AA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10,62±0,61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10.62±0.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65AC15C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9,93±0,81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9.93±0.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2B8A97D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9,4±0,54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9.4±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0.54 </w:t>
            </w:r>
          </w:p>
        </w:tc>
      </w:tr>
      <w:tr w:rsidR="00BC5798" w:rsidRPr="009B73A3" w14:paraId="4183E892" w14:textId="77777777" w:rsidTr="00BC579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C3439B9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A972E43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62,8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62.8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4D6B903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C848333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4,65±0,12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4.65±0.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2AA36F0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4,40±0,19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4.40±0.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70A4EF5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4,17±0,13*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4.17±0.13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</w:tr>
      <w:tr w:rsidR="00BC5798" w:rsidRPr="009B73A3" w14:paraId="50EA9525" w14:textId="77777777" w:rsidTr="00BC579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C7DF22A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6C04041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12,6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12.6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86DAEFE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2DF14A6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5,18±0,13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5.18±0.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327FDFF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5,09±0,29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5.09±0.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047E360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4,67±0,15*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4.67±0.15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</w:tr>
      <w:tr w:rsidR="00BC5798" w:rsidRPr="009B73A3" w14:paraId="6A9CEEDC" w14:textId="77777777" w:rsidTr="00BC579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6890EB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08C7778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2,5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2.5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7CFDFE0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CCC97CC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5,96±0,16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5.96±0.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16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FE85E07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5,97±0,37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5.97±0.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06C0232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5,46±0,15*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5.46±0.15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</w:tr>
      <w:tr w:rsidR="00BC5798" w:rsidRPr="009B73A3" w14:paraId="1CA53679" w14:textId="77777777" w:rsidTr="00BC5798">
        <w:trPr>
          <w:trHeight w:val="60"/>
          <w:hidden/>
        </w:trPr>
        <w:tc>
          <w:tcPr>
            <w:tcW w:w="1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1845EB1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 xml:space="preserve">Скорость сдвига, с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vertAlign w:val="superscript"/>
                <w:lang w:eastAsia="ru-RU"/>
              </w:rPr>
              <w:t>-1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Shear rate, sec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val="en-US" w:eastAsia="ru-RU"/>
              </w:rPr>
              <w:t>-1</w:t>
            </w:r>
          </w:p>
          <w:p w14:paraId="6E316DEF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9536E85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62,8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62.8 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0C3D889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Вискоэластичность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крови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 xml:space="preserve">,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мПа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·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с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Viscoelastic blood mPa x sec</w:t>
            </w:r>
          </w:p>
          <w:p w14:paraId="4456A8C1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B94DBAA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val="en-US" w:eastAsia="ru-RU"/>
              </w:rPr>
              <w:t>0,98±0,07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0.98±0.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8BBE3A6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0,80±0,08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0.80±0.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B191771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0,81±0,07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0.81±0.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 </w:t>
            </w:r>
          </w:p>
        </w:tc>
      </w:tr>
      <w:tr w:rsidR="00BC5798" w:rsidRPr="009B73A3" w14:paraId="56BF000A" w14:textId="77777777" w:rsidTr="00BC579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27936E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E4FA3C6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12,6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12.6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4AC156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EE7FB5A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2,12±0,14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4A26FE2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1,81±0,15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1.81±0.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15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6AAEFD1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1,73±0,12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1.73±0.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</w:t>
            </w:r>
          </w:p>
        </w:tc>
      </w:tr>
      <w:tr w:rsidR="00BC5798" w:rsidRPr="009B73A3" w14:paraId="3785B9EA" w14:textId="77777777" w:rsidTr="00BC5798">
        <w:trPr>
          <w:trHeight w:val="60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7154AC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ECA50E8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2,5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2.5 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8EA907" w14:textId="77777777" w:rsidR="00BC5798" w:rsidRPr="009B73A3" w:rsidRDefault="00BC5798" w:rsidP="009B73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5F735BA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4,67±0,24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4.67±0.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24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7D505A7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3,98±0,28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3.98±0.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2468C6C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3,66±0,25*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3.66±0.25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</w:tr>
      <w:tr w:rsidR="00BC5798" w:rsidRPr="009B73A3" w14:paraId="385E717C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203A2611" w14:textId="77777777" w:rsidR="00BC5798" w:rsidRPr="009B73A3" w:rsidRDefault="00BC5798" w:rsidP="009B73A3">
            <w:pPr>
              <w:spacing w:after="0" w:line="160" w:lineRule="atLeas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Вязкость плазмы, мПа·с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Plasma Viscosity, mPa x 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</w:t>
            </w:r>
            <w:r w:rsid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ec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1D32EC4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1,82±0,03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1.82±0.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DB6182D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2,03±0,22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2.03±0.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DCA63AB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1,98±0,04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1.98±0.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 </w:t>
            </w:r>
          </w:p>
        </w:tc>
      </w:tr>
      <w:tr w:rsidR="00BC5798" w:rsidRPr="009B73A3" w14:paraId="1FC1E50A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A347E23" w14:textId="77777777" w:rsidR="00BC5798" w:rsidRPr="009B73A3" w:rsidRDefault="00BC5798" w:rsidP="009B73A3">
            <w:pPr>
              <w:spacing w:after="0" w:line="16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Гематокрит, %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Hematocrit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, 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%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AD7C141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42,2±0,8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42.2±0.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21DD1D2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42,9±0,8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42.9±0.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8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D076530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41,9±1,4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41.9±1.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4 </w:t>
            </w:r>
          </w:p>
        </w:tc>
      </w:tr>
      <w:tr w:rsidR="00BC5798" w:rsidRPr="009B73A3" w14:paraId="45BC1EDC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C7C7B2F" w14:textId="77777777" w:rsidR="00BC5798" w:rsidRPr="009B73A3" w:rsidRDefault="00BC5798" w:rsidP="009B73A3">
            <w:pPr>
              <w:spacing w:after="0" w:line="16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Агрегация эритроцитов ИАм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RBCA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E8EB002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16,89±0,73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16.89±0.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73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3033955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13,57±0,95*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13.57±0.95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DBB4E6A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13,2±0,81*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13.2±0.81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</w:tr>
      <w:tr w:rsidR="00BC5798" w:rsidRPr="009B73A3" w14:paraId="6367A183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CF8BC8E" w14:textId="77777777" w:rsidR="00BC5798" w:rsidRPr="009B73A3" w:rsidRDefault="00BC5798" w:rsidP="009B73A3">
            <w:pPr>
              <w:spacing w:after="0" w:line="16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 xml:space="preserve">Агрегация эритроцитов ИАм </w:t>
            </w: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vertAlign w:val="subscript"/>
                <w:lang w:eastAsia="ru-RU"/>
              </w:rPr>
              <w:t>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RBCA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D667D3C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25,20±1,12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25.20±1.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FDF44FB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19,23±0,94*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19.23±0.94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3663762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17,37±1,19*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17.37±1.19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</w:tr>
      <w:tr w:rsidR="00BC5798" w:rsidRPr="009B73A3" w14:paraId="5A3FF551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9AC028C" w14:textId="77777777" w:rsidR="00BC5798" w:rsidRPr="009B73A3" w:rsidRDefault="00BC5798" w:rsidP="009B73A3">
            <w:pPr>
              <w:spacing w:after="0" w:line="16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Агрегация тромбоцитов, Ом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Platele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ts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aggregation, Ohm</w:t>
            </w:r>
            <w:r w:rsid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s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6EA742C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17,09±0,62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17.09±0.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B77A87C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13,67±0,56*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13.67±0.56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5887511F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12,34±0,78*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12.34±0.78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* </w:t>
            </w:r>
          </w:p>
        </w:tc>
      </w:tr>
      <w:tr w:rsidR="00BC5798" w:rsidRPr="009B73A3" w14:paraId="38BAC6B8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2B30335" w14:textId="77777777" w:rsidR="00BC5798" w:rsidRPr="009B73A3" w:rsidRDefault="00BC5798" w:rsidP="009B73A3">
            <w:pPr>
              <w:spacing w:after="0" w:line="16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Фибриноген плазмы, г/л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Plasma Fibrinogen, g/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088EFFD8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2,63±0,13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2.63±0.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13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0F9B10C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2,68±0,10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2.68±0.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360A0050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2,16±0,09*2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2.16±0.09*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 </w:t>
            </w:r>
          </w:p>
        </w:tc>
      </w:tr>
      <w:tr w:rsidR="00BC5798" w:rsidRPr="009B73A3" w14:paraId="282682F6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0664986" w14:textId="77777777" w:rsidR="00BC5798" w:rsidRPr="009B73A3" w:rsidRDefault="00BC5798" w:rsidP="009B73A3">
            <w:pPr>
              <w:spacing w:after="0" w:line="16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МНО, ед.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INR units.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F1F7ADD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1,04 ±0,02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1.04±0.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5B93A64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0,99±0,02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0.99±0.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7E01DA74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1,03±0,01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1.03±0.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 </w:t>
            </w:r>
          </w:p>
        </w:tc>
      </w:tr>
      <w:tr w:rsidR="00BC5798" w:rsidRPr="009B73A3" w14:paraId="73C81F8C" w14:textId="77777777" w:rsidTr="00BC5798">
        <w:trPr>
          <w:trHeight w:val="60"/>
          <w:hidden/>
        </w:trPr>
        <w:tc>
          <w:tcPr>
            <w:tcW w:w="467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87AE3B8" w14:textId="77777777" w:rsidR="00BC5798" w:rsidRPr="009B73A3" w:rsidRDefault="00BC5798" w:rsidP="009B73A3">
            <w:pPr>
              <w:spacing w:after="0" w:line="160" w:lineRule="atLeast"/>
              <w:ind w:firstLine="709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АЧТВ, с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0666DF"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APTT, sec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4D7EE734" w14:textId="77777777" w:rsidR="00BC5798" w:rsidRPr="009B73A3" w:rsidRDefault="00BC5798" w:rsidP="009B73A3">
            <w:pPr>
              <w:spacing w:after="0" w:line="160" w:lineRule="atLeast"/>
              <w:ind w:firstLine="7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26,40±0,19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26.40±0.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19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18789C2C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26,27±0,61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26.27±0.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61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0" w:type="dxa"/>
              <w:bottom w:w="80" w:type="dxa"/>
              <w:right w:w="0" w:type="dxa"/>
            </w:tcMar>
            <w:hideMark/>
          </w:tcPr>
          <w:p w14:paraId="660BF523" w14:textId="77777777" w:rsidR="00BC5798" w:rsidRPr="009B73A3" w:rsidRDefault="00BC5798" w:rsidP="009B73A3">
            <w:pPr>
              <w:spacing w:after="0" w:line="16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73A3">
              <w:rPr>
                <w:rFonts w:ascii="Times New Roman" w:eastAsia="Times New Roman" w:hAnsi="Times New Roman" w:cs="Times New Roman"/>
                <w:vanish/>
                <w:sz w:val="18"/>
                <w:szCs w:val="18"/>
                <w:lang w:eastAsia="ru-RU"/>
              </w:rPr>
              <w:t>26,34±0,37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="00AD271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26.34±0.</w:t>
            </w:r>
            <w:r w:rsidRPr="009B73A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37 </w:t>
            </w:r>
          </w:p>
        </w:tc>
      </w:tr>
    </w:tbl>
    <w:p w14:paraId="5F6F23E9" w14:textId="77777777" w:rsidR="00BC5798" w:rsidRPr="009B73A3" w:rsidRDefault="00BC5798" w:rsidP="009B73A3">
      <w:pPr>
        <w:spacing w:after="0" w:line="16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B73A3">
        <w:rPr>
          <w:rFonts w:ascii="Times New Roman" w:eastAsia="Times New Roman" w:hAnsi="Times New Roman" w:cs="Times New Roman"/>
          <w:sz w:val="18"/>
          <w:szCs w:val="18"/>
          <w:lang w:eastAsia="ru-RU"/>
        </w:rPr>
        <w:t> </w:t>
      </w:r>
    </w:p>
    <w:p w14:paraId="45C18AC5" w14:textId="77777777" w:rsidR="00BC5798" w:rsidRPr="009B73A3" w:rsidRDefault="00BC5798" w:rsidP="009B73A3">
      <w:pPr>
        <w:spacing w:before="57" w:after="0" w:line="160" w:lineRule="atLeast"/>
        <w:ind w:firstLine="709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Примечания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: *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статистически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значимое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отличие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обследованных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;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Notes: * </w:t>
      </w:r>
      <w:r w:rsidR="00DC24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–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statistically significant difference </w:t>
      </w:r>
      <w:r w:rsidR="00DC24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from the index of the surveyed 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roup 1;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2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статистически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значимое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отличие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(p≤0,05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Стьюденту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2 </w:t>
      </w:r>
      <w:r w:rsidR="00DC24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–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 statistically significant difference from </w:t>
      </w:r>
      <w:r w:rsidR="00DC24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the index of the Group 2 (p≤0.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05</w:t>
      </w:r>
      <w:r w:rsidR="00DC245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according to the Student test);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ИАм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индекс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агрегации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эритроцитов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;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INR </w:t>
      </w:r>
      <w:r w:rsidR="00DC2450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international normalized ratio;</w:t>
      </w:r>
      <w:r w:rsidR="00C55A3B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RBCA </w:t>
      </w:r>
      <w:r w:rsidR="00DC2450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red blood cells aggregation at rest;</w:t>
      </w:r>
      <w:r w:rsidR="00C55A3B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>RBCA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vertAlign w:val="subscript"/>
          <w:lang w:val="en"/>
        </w:rPr>
        <w:t>1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</w:t>
      </w:r>
      <w:r w:rsidR="00DC2450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DC2450" w:rsidRPr="009B73A3">
        <w:rPr>
          <w:rFonts w:ascii="Times New Roman" w:hAnsi="Times New Roman" w:cs="Times New Roman"/>
          <w:color w:val="222222"/>
          <w:sz w:val="18"/>
          <w:szCs w:val="18"/>
          <w:lang w:val="en"/>
        </w:rPr>
        <w:t xml:space="preserve"> red blood cells aggregation during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 </w:t>
      </w:r>
      <w:r w:rsidR="00AD27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exercise</w:t>
      </w:r>
    </w:p>
    <w:p w14:paraId="2CF57B56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данных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табл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Table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1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видно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sym w:font="Symbol" w:char="F068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измеренная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ротационном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высокой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(250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низкой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(10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) </w:t>
      </w:r>
      <w:r w:rsidRPr="009B73A3">
        <w:rPr>
          <w:rFonts w:ascii="Times New Roman" w:eastAsia="Times New Roman" w:hAnsi="Times New Roman" w:cs="Times New Roman"/>
          <w:vanish/>
          <w:spacing w:val="-45"/>
          <w:sz w:val="18"/>
          <w:szCs w:val="18"/>
          <w:lang w:eastAsia="ru-RU"/>
        </w:rPr>
        <w:sym w:font="Symbol" w:char="F06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11"/>
          <w:position w:val="6"/>
          <w:sz w:val="18"/>
          <w:szCs w:val="18"/>
          <w:lang w:eastAsia="ru-RU"/>
        </w:rPr>
        <w:sym w:font="Symbol" w:char="F0D7"/>
      </w:r>
      <w:r w:rsidRPr="009B73A3">
        <w:rPr>
          <w:rFonts w:ascii="Times New Roman" w:eastAsia="Times New Roman" w:hAnsi="Times New Roman" w:cs="Times New Roman"/>
          <w:vanish/>
          <w:spacing w:val="11"/>
          <w:position w:val="6"/>
          <w:sz w:val="18"/>
          <w:szCs w:val="18"/>
          <w:lang w:eastAsia="ru-RU"/>
        </w:rPr>
        <w:sym w:font="Symbol" w:char="F020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лиц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статистически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незначимо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превышала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аналогичные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обследованных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диапазоне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4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13%.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1 shows that </w:t>
      </w:r>
      <w:r w:rsidRPr="009B73A3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68"/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measured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 the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rotary viscometer, at a high (250 s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ec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)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 low (10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sec</w:t>
      </w:r>
      <w:r w:rsidR="00AD271F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) </w:t>
      </w:r>
      <w:r w:rsidR="00AD271F" w:rsidRPr="00651EB2">
        <w:rPr>
          <w:rFonts w:ascii="Symbol" w:hAnsi="Symbol" w:cs="Symbol"/>
          <w:color w:val="000000"/>
          <w:spacing w:val="-45"/>
          <w:sz w:val="18"/>
          <w:szCs w:val="18"/>
        </w:rPr>
        <w:t></w:t>
      </w:r>
      <w:r w:rsidR="00AD271F" w:rsidRPr="00651EB2">
        <w:rPr>
          <w:rFonts w:ascii="Symbol" w:hAnsi="Symbol" w:cs="Symbol"/>
          <w:color w:val="000000"/>
          <w:spacing w:val="11"/>
          <w:position w:val="6"/>
          <w:sz w:val="18"/>
          <w:szCs w:val="18"/>
        </w:rPr>
        <w:t></w:t>
      </w:r>
      <w:r w:rsidR="00AD271F">
        <w:rPr>
          <w:rFonts w:ascii="Times New Roman" w:hAnsi="Times New Roman" w:cs="Times New Roman"/>
          <w:color w:val="000000"/>
          <w:spacing w:val="11"/>
          <w:position w:val="6"/>
          <w:sz w:val="18"/>
          <w:szCs w:val="18"/>
          <w:lang w:val="en-US"/>
        </w:rPr>
        <w:t xml:space="preserve">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in individuals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 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roup 1 statistically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was in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significantly higher than in the surveyed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Group 2 and Group 3 by 4-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13%.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Аналогично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sym w:font="Symbol" w:char="F068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определенная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капиллярном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-45"/>
          <w:sz w:val="18"/>
          <w:szCs w:val="18"/>
          <w:lang w:eastAsia="ru-RU"/>
        </w:rPr>
        <w:sym w:font="Symbol" w:char="F06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11"/>
          <w:position w:val="6"/>
          <w:sz w:val="18"/>
          <w:szCs w:val="18"/>
          <w:lang w:eastAsia="ru-RU"/>
        </w:rPr>
        <w:sym w:font="Symbol" w:char="F0D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62,8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Similarly, </w:t>
      </w:r>
      <w:r w:rsidRPr="009B73A3">
        <w:rPr>
          <w:rFonts w:ascii="Times New Roman" w:eastAsia="Times New Roman" w:hAnsi="Times New Roman" w:cs="Times New Roman"/>
          <w:sz w:val="18"/>
          <w:szCs w:val="18"/>
          <w:lang w:eastAsia="ru-RU"/>
        </w:rPr>
        <w:sym w:font="Symbol" w:char="F068"/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determined by the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capillary viscometer at </w:t>
      </w:r>
      <w:r w:rsidR="00AD271F" w:rsidRPr="00651EB2">
        <w:rPr>
          <w:rFonts w:ascii="Symbol" w:hAnsi="Symbol" w:cs="Symbol"/>
          <w:color w:val="000000"/>
          <w:spacing w:val="-45"/>
          <w:sz w:val="18"/>
          <w:szCs w:val="18"/>
        </w:rPr>
        <w:t></w:t>
      </w:r>
      <w:r w:rsidR="00AD271F" w:rsidRPr="00651EB2">
        <w:rPr>
          <w:rFonts w:ascii="Symbol" w:hAnsi="Symbol" w:cs="Symbol"/>
          <w:color w:val="000000"/>
          <w:spacing w:val="11"/>
          <w:position w:val="6"/>
          <w:sz w:val="18"/>
          <w:szCs w:val="18"/>
        </w:rPr>
        <w:t></w:t>
      </w:r>
      <w:r w:rsidR="00AD271F">
        <w:rPr>
          <w:rFonts w:ascii="Symbol" w:hAnsi="Symbol" w:cs="Symbol"/>
          <w:color w:val="000000"/>
          <w:spacing w:val="11"/>
          <w:position w:val="6"/>
          <w:sz w:val="18"/>
          <w:szCs w:val="18"/>
        </w:rPr>
        <w:t>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12,6 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2,5 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-1 — 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капиллярном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вискозиметре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В</w:t>
      </w:r>
      <w:r w:rsidR="00857F79"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i</w:t>
      </w:r>
      <w:r w:rsidR="00857F79"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оР</w:t>
      </w:r>
      <w:r w:rsidR="00857F79"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r</w:t>
      </w:r>
      <w:r w:rsidR="00857F79"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о</w:t>
      </w:r>
      <w:r w:rsidR="00857F79"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val="en-US" w:eastAsia="ru-RU"/>
        </w:rPr>
        <w:t>filer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США</w:t>
      </w:r>
      <w:r w:rsidR="00857F79"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).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62.8; 12.6; 2.5 sec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-1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roup 2 did not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differ from 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roup 1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parameters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Напротив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выличины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изучаемых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значимо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ниже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среднем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10%.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contrast, the study parameters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 the Group 3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were significantly lower than in t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he Group 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10%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on the average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. </w:t>
      </w:r>
    </w:p>
    <w:p w14:paraId="60896EED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сходном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вязкостью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характере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вискоэластичности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статистически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значимое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сравнению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снижение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27%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выявлено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только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низкой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-45"/>
          <w:sz w:val="18"/>
          <w:szCs w:val="18"/>
          <w:lang w:eastAsia="ru-RU"/>
        </w:rPr>
        <w:sym w:font="Symbol" w:char="F06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pacing w:val="11"/>
          <w:position w:val="6"/>
          <w:sz w:val="18"/>
          <w:szCs w:val="18"/>
          <w:lang w:eastAsia="ru-RU"/>
        </w:rPr>
        <w:sym w:font="Symbol" w:char="F0D7"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(2,5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vertAlign w:val="superscript"/>
          <w:lang w:val="en-US" w:eastAsia="ru-RU"/>
        </w:rPr>
        <w:t>-1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лиц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lood viscoelasticity changes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similar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857F79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to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viscosity 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and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statistically significant as compared to the 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Group 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decrease of 27% 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was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observed only at low </w:t>
      </w:r>
      <w:r w:rsidR="00AD271F" w:rsidRPr="00651EB2">
        <w:rPr>
          <w:rFonts w:ascii="Symbol" w:hAnsi="Symbol" w:cs="Symbol"/>
          <w:color w:val="000000"/>
          <w:spacing w:val="-45"/>
          <w:sz w:val="18"/>
          <w:szCs w:val="18"/>
        </w:rPr>
        <w:t></w:t>
      </w:r>
      <w:r w:rsidR="00AD271F" w:rsidRPr="00651EB2">
        <w:rPr>
          <w:rFonts w:ascii="Symbol" w:hAnsi="Symbol" w:cs="Symbol"/>
          <w:color w:val="000000"/>
          <w:spacing w:val="11"/>
          <w:position w:val="6"/>
          <w:sz w:val="18"/>
          <w:szCs w:val="18"/>
        </w:rPr>
        <w:t>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(2.5 sec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vertAlign w:val="superscript"/>
          <w:lang w:val="en-US" w:eastAsia="ru-RU"/>
        </w:rPr>
        <w:t>-1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) in patients of 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roup 3. 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 addition,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статистически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незначимое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снижение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остальных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пределах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17–22%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отмечено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обследованных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="00110AC7"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ШШ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AD27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the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statistically significant 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fall in other indicators within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17-22% of 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was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noted </w:t>
      </w:r>
      <w:r w:rsidR="00110AC7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both in Group 2 and Group 3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Существенные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обследованных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обнаружены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стороны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клеточного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звена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гемореологии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Signi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ficant changes in cells aggregation were revealed in the examined 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roup 1.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ИАм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превышал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сравниваемых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группах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24–27% (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р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&lt;0,05),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ИАм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vertAlign w:val="subscript"/>
          <w:lang w:val="en-US" w:eastAsia="ru-RU"/>
        </w:rPr>
        <w:t>1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So</w:t>
      </w:r>
      <w:r w:rsidR="00AD271F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RBCA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exceeded the values ​​of the indicators in 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compared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groups 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24-27%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(p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&lt;0.05), 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RBCA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vertAlign w:val="subscript"/>
          <w:lang w:val="en-US" w:eastAsia="ru-RU"/>
        </w:rPr>
        <w:t>1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0D189C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y 31-45%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(p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&lt;0.05), and platelet aggregation </w:t>
      </w:r>
      <w:r w:rsidR="000D189C" w:rsidRPr="009B73A3">
        <w:rPr>
          <w:rFonts w:ascii="Times New Roman" w:hAnsi="Times New Roman" w:cs="Times New Roman"/>
          <w:sz w:val="18"/>
          <w:szCs w:val="18"/>
          <w:lang w:val="en-US"/>
        </w:rPr>
        <w:t>—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by 25-38%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(p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&lt;0.05).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Концентрация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фибриногена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лиц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была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21% ( </w:t>
      </w:r>
      <w:r w:rsidRPr="009B73A3">
        <w:rPr>
          <w:rFonts w:ascii="Times New Roman" w:eastAsia="Times New Roman" w:hAnsi="Times New Roman" w:cs="Times New Roman"/>
          <w:i/>
          <w:iCs/>
          <w:vanish/>
          <w:sz w:val="18"/>
          <w:szCs w:val="18"/>
          <w:lang w:eastAsia="ru-RU"/>
        </w:rPr>
        <w:t>р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&lt;0,05)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выше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3-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concentration of fibrinogen in patients </w:t>
      </w:r>
      <w:r w:rsidR="000D189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of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Group 1 was 21% </w:t>
      </w:r>
      <w:r w:rsidRPr="009B73A3">
        <w:rPr>
          <w:rFonts w:ascii="Times New Roman" w:eastAsia="Times New Roman" w:hAnsi="Times New Roman" w:cs="Times New Roman"/>
          <w:i/>
          <w:iCs/>
          <w:sz w:val="18"/>
          <w:szCs w:val="18"/>
          <w:lang w:val="en-US" w:eastAsia="ru-RU"/>
        </w:rPr>
        <w:t>(p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&lt;0.05) higher than in the third group.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Различий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значениях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АЧТВ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сравниваемых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группах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обнаружено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Differences in INR and APTT values ​​in 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compared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groups were found.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лиц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обнаружено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незначимое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снижение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сравнению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другими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обследуемыми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плазмы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среднем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10%.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patients of G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roup 1 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we revealed an insignificant fall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 comparison with other surveyed plasma viscosity by an average of 10%.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Таким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образом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проведенные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исследования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увеличением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происходит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повышение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значений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подавляющего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числа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гемореологических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наиболее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выраженное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после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60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Thus, studies have shown that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values ​​of the vast number of hemorheological indexes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increase with age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mostly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after 60 years. </w:t>
      </w:r>
    </w:p>
    <w:p w14:paraId="13716E64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Указанные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происходят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силу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разных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причин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These changes occur due to various reasons. </w:t>
      </w:r>
    </w:p>
    <w:p w14:paraId="01A4A236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Доказано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ряд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медикаментов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способствует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гипервискозности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повышению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риска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тромботических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осложнений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: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мочегонные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средства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иммуно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We prove that </w:t>
      </w:r>
      <w:r w:rsidR="00FF0F3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some drugs induced hyperviscosity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and increase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risk of thrombotic complications: diuretics, 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intravenous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immuno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softHyphen/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глобулины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внутривенного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введения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препараты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стимулирующие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эритропоэз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рентгеноконтрастные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вещества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globulin</w:t>
      </w:r>
      <w:r w:rsidR="00A4001E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drugs stimulating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erythropoiesis, radiopaque agents, etc.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[13].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[13]. </w:t>
      </w:r>
    </w:p>
    <w:p w14:paraId="23EFA7B8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настоящее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время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цельной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низкой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скорости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сдвига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стала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показателем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диагностики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скрытого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инфаркта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мозга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ассоциированного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риском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преходящей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ишемической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атаки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инсульта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деменции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независимо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классических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факторов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сердечно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-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сосудистого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риска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[14].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Currently, whole blood viscosity at low shear rate </w:t>
      </w:r>
      <w:r w:rsidR="004D5C81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has become a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diagnostic indicator of </w:t>
      </w:r>
      <w:r w:rsidR="004D5C81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hidden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cerebral infarction associated with the risk of transient ischemic attacks, stroke, dementia, regardless of </w:t>
      </w:r>
      <w:r w:rsidR="004D5C81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normal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cardiovascular risk </w:t>
      </w:r>
      <w:r w:rsidR="004D5C81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factors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[14].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Повышенная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цельной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ассоциирована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инсулинорезистентностью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неалкогольным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жировым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гепатозом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среди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населения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среднего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пожилого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[15].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Increased viscosity of the whole blood is associated with insulin resistance and non</w:t>
      </w:r>
      <w:r w:rsidR="0046197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-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alcoholic </w:t>
      </w:r>
      <w:r w:rsidR="0046197C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fatty liver disease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among middle-aged and elderly population [15]. </w:t>
      </w:r>
    </w:p>
    <w:p w14:paraId="3C01F6DE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25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назад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было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продемонстрировано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улучшение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различных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параметров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кровотока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пациентов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имеющих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синдром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повышенной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улучшает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коронарный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кровоток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[16].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Over 25 years ago it was demonstrated that the improvement of various parameters of blood flow in patients with hyperviscosity synd</w:t>
      </w:r>
      <w:r w:rsidR="00FF0F3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rome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improved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myocardial blood flow [16]. </w:t>
      </w:r>
    </w:p>
    <w:p w14:paraId="32686A65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литературе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разных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заболеваниях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достаточно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широко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освещаются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параметры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цельной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параметры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вискоэластичности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мало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известны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In the literature,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whole blood viscosity parameters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are widely observed in various diseases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,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while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parameters of blood viscoelasticity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are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little known.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первую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очередь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использование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связано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степени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ригидности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эритроцитов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гематологических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заб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олеваниях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частности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наследственном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сфероцитозе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[17],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также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эффективности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препаратов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стабилизирующих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мембрану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эритроцитов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малярии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гомозиготной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форме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серповидноклеточной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анемии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[18, 19].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First of all</w:t>
      </w:r>
      <w:r w:rsidR="00FF0F3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they may be used to assess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degree of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red blood cells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rigidity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under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hematological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diseases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(hereditary spherocytosis, in particular)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[17] as well as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to assess drugs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efficacy, stabilizing the membrane of </w:t>
      </w:r>
      <w:r w:rsidR="00BB6EB0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red blood cells under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malaria and homozygous form of sickle-cell anemia [18, 19].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Проведенные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нами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исследования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показали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пожилом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нарушения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вискоэластичности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носят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выраженный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характер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вязкостные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характеристики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наибольшей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степени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проявляются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уровне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микроциркуляторного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кровотока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свидетельствует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статистически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значимое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повышение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низкой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скорости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сдвига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Our studies have shown that blood </w:t>
      </w:r>
      <w:r w:rsidR="00A70A0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viscoelasticity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disorders are more </w:t>
      </w:r>
      <w:r w:rsidR="00FF0F3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evident </w:t>
      </w:r>
      <w:r w:rsidR="00A70A0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in elderly people than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viscosity </w:t>
      </w:r>
      <w:r w:rsidR="00A70A0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parameters and are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most</w:t>
      </w:r>
      <w:r w:rsidR="00A70A0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ly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manifest</w:t>
      </w:r>
      <w:r w:rsidR="00A70A0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ed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A70A04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by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microcirculatory blood flow, as evidenced by a statistically significant increase in its low shear rate.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вискоэластичности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соответствующие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магистральным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сосудам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оказались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незначимыми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Changes 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of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viscoelasticity corresponding to major vessels, were insignificant.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Возможно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обусловлено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свойственному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старшему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перераспределению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популяций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эритроцитов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пользу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крупной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фракции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ретикулоцитов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отражает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сниженный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срок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функционирования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[20, 21].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Perhaps this happens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due to the inherent redistribution of 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red blood cells in elderly</w:t>
      </w:r>
      <w:r w:rsidR="00FF0F3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population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in favor of a larger fraction and reticulocytes, which reflects the reduced duration of their 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function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[20, 21]. </w:t>
      </w:r>
    </w:p>
    <w:p w14:paraId="6AC66846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lastRenderedPageBreak/>
        <w:t>Следует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также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отметить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настоящее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время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90%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клинических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лабораторий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для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определения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используют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метод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капиллярной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только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около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10% —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ротационный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метод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[22].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It should also be noted</w:t>
      </w:r>
      <w:r w:rsidR="00FF0F3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that 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today</w:t>
      </w:r>
      <w:r w:rsidR="00FF0F38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,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90% of clinical laboratories 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use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capillary viscometry method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to measure blood viscosity, and only about 10% use 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 rotary method [22].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Согласно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нашим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данным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метод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капиллярной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оказался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чувствительным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возрастным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изменениям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вязкости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цельной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крови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сравнению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оценкой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помощью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ротационного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вискозиметра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According to our data, the capillary viscometry method was more sensitive to age-related changes of whole blood viscosity </w:t>
      </w:r>
      <w:r w:rsidR="00C53223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compared to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a rotational viscometer. </w:t>
      </w:r>
    </w:p>
    <w:p w14:paraId="589B3F7D" w14:textId="77777777" w:rsidR="00BC5798" w:rsidRPr="009B73A3" w:rsidRDefault="00BC5798" w:rsidP="009B73A3">
      <w:pPr>
        <w:spacing w:before="113" w:after="57" w:line="20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b/>
          <w:bCs/>
          <w:caps/>
          <w:vanish/>
          <w:color w:val="AA02A3"/>
          <w:sz w:val="18"/>
          <w:szCs w:val="18"/>
          <w:lang w:eastAsia="ru-RU"/>
        </w:rPr>
        <w:t>Заключение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b/>
          <w:bCs/>
          <w:caps/>
          <w:color w:val="AA02A3"/>
          <w:sz w:val="18"/>
          <w:szCs w:val="18"/>
          <w:lang w:val="en-US" w:eastAsia="ru-RU"/>
        </w:rPr>
        <w:t>conclusion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</w:p>
    <w:p w14:paraId="56DF7434" w14:textId="77777777" w:rsidR="00BC5798" w:rsidRPr="009B73A3" w:rsidRDefault="00BC5798" w:rsidP="009B73A3">
      <w:pPr>
        <w:spacing w:after="0" w:line="220" w:lineRule="atLeast"/>
        <w:ind w:firstLine="709"/>
        <w:jc w:val="both"/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</w:pP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На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основании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полученных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данных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можно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заключить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что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параметры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гемореологии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пожилых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добровольцев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имеют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более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высокие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значения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,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чем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лиц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трудоспособного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возраста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</w:t>
      </w:r>
      <w:r w:rsidR="0010716A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According to</w:t>
      </w:r>
      <w:r w:rsidR="00590ED5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findings </w:t>
      </w:r>
      <w:r w:rsidR="0010716A"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>we may suggest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that hemorheology parameters in elderly volunteers have higher values ​​than those of working age.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результаты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следует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использовать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в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качестве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контрольной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группы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при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оценке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тяжести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заболевания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эффективности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лечения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у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геронтологических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 xml:space="preserve"> 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  <w:t>больных</w:t>
      </w:r>
      <w:r w:rsidRPr="009B73A3">
        <w:rPr>
          <w:rFonts w:ascii="Times New Roman" w:eastAsia="Times New Roman" w:hAnsi="Times New Roman" w:cs="Times New Roman"/>
          <w:vanish/>
          <w:sz w:val="18"/>
          <w:szCs w:val="18"/>
          <w:lang w:val="en-US" w:eastAsia="ru-RU"/>
        </w:rPr>
        <w:t>.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These results should be used as a control group in assessing the severity of disease and the effectiveness of treatment in geriatric patients. </w:t>
      </w:r>
    </w:p>
    <w:p w14:paraId="5579C7E8" w14:textId="77777777" w:rsidR="00C761A3" w:rsidRPr="009B73A3" w:rsidRDefault="00C761A3" w:rsidP="009B73A3">
      <w:pPr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14:paraId="3BF6E107" w14:textId="77777777" w:rsidR="00B47E74" w:rsidRPr="009B73A3" w:rsidRDefault="00B47E74" w:rsidP="009B73A3">
      <w:pPr>
        <w:pStyle w:val="041F043E0434043704300433043E043B043E0432043E043A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References</w:t>
      </w:r>
    </w:p>
    <w:p w14:paraId="0923A9E8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Borisov V. Demograficheskaya situatsiya v sovremennoy Rossii [The demographic situation in modern Russia].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Demograficheskie issledovaniya.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2006; 1: 13–15. (In Russian).</w:t>
      </w:r>
    </w:p>
    <w:p w14:paraId="3839CD06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2.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Feher G., Koltai K., Kesmarky G., et al. Hemorheological parameters and aging.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Clin Hemorheol Microcirc.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2006; 35 (1–2): 89–98.</w:t>
      </w:r>
    </w:p>
    <w:p w14:paraId="1C7B2B4F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3.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Feher G., Koltai K., Toth K. Are hemorheological parameters independent of aging?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Clin Hemorheol Microcirc.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2007; 36 (2): 181–182.</w:t>
      </w:r>
    </w:p>
    <w:p w14:paraId="3C393E28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4.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Simmonds M.J., Meiselman H.J., Baskurt O.K. Blood rheology and aging.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J Geriatr Cardiol.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2013; 10 (3): 291–301.</w:t>
      </w:r>
    </w:p>
    <w:p w14:paraId="7B1250CE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5.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Whittaker S.R., Winton F.R. The apparent viscosity of blood flowing in the isolated hindlimb of the dog and its variation with corpuscular concentration.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J Physio.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1933; 78 (4): 339–368.</w:t>
      </w:r>
    </w:p>
    <w:p w14:paraId="08B2EB98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6.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Dintenfass L. Blood rheology in pathogenesis of the coronary heart diseases.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Am Heart J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>. 1969; 77 (1): 139–147.</w:t>
      </w:r>
    </w:p>
    <w:p w14:paraId="5304EA54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7.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Brown M.M., Marshall J. Effect of plasma exchange on blood viscosity and cerebral blood flow. Br Med J. (Clin. Res. Ed). 1982; 12 (284): 1733–1736. </w:t>
      </w:r>
    </w:p>
    <w:p w14:paraId="7E9E769F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8.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Wood J.H., Kee D.B. Jr. Hemorheology of the cerebral circulation in stroke.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Stroke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. 1985; 16 (5): 765–772. </w:t>
      </w:r>
    </w:p>
    <w:p w14:paraId="2039B75C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9.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Dintenfass L. The cause of death: blood hyperviscosity?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J R Soc Med. 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>1987; 80 (8): 536–537.</w:t>
      </w:r>
    </w:p>
    <w:p w14:paraId="613C192A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10.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DeFilippis A.P., Law K., Curtin S., Eckman J.R. Blood is thicker than water: the management of hyperviscosity in adults with cyanotic heart disease.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Cardiol Rev.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2007; 15 (1): 31–34. </w:t>
      </w:r>
    </w:p>
    <w:p w14:paraId="599E4ACE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11.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Kozints G.I., Makarova V.A., ed.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Issledovanie sistemy krovi v klinicheskoy praktike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[The study of the blood system in clinical practice]. Moscow: Triada-X Publ., 1998. 480 p. (In Russian).</w:t>
      </w:r>
    </w:p>
    <w:p w14:paraId="28A8A5EA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12.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Sapari L., Khorvat B., Aleksi T., et al. Vliyanie kavintona na reologicheskie svoystva krovi u bol’nykh s khronicheskoy tserebrovaskulyarnoy nedostatochnost’yu [Influence Cavinton on the rheological properties of blood in patients with chronic cerebrovascular insufficiency].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Zhurnal nevrologii i psikhiatrii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>. 2006; 6: 47–51. (In Russian).</w:t>
      </w:r>
    </w:p>
    <w:p w14:paraId="68F1DD1E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13.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Baskurt O.K., Meiselman H.J. Iiatrogenic hyperviscosity and thrombosis.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Semi Thromb Hemost.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2012; 38 (8): 854–864.</w:t>
      </w:r>
    </w:p>
    <w:p w14:paraId="21BCC34F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14.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Li R.Y., Cao Z.G., Li Y., Wang R.T. Increased whole blood viscosity is associated with silent cerebral infarction.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Clin Hemorheol Microcirc.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2015; 59 (4): 301–307.</w:t>
      </w:r>
    </w:p>
    <w:p w14:paraId="619D6764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15.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Zhao H.Y., Li J., Xu M..,et al. Elevated whole blood viscosity is associated with insulin resistance and non-alcoholic fatty liver.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Clin Endocrinol (Oxf).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2015, Mar 30. [Epub ahead of print].</w:t>
      </w:r>
    </w:p>
    <w:p w14:paraId="6E946248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16.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Leschke M. Rheology and coronary heart disease.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Dtsch Med Wochenschr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>. 2008;133 Suppl 8: S270–273.</w:t>
      </w:r>
    </w:p>
    <w:p w14:paraId="4D8B6721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17.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Caprari, P., Tarzia, A., Mojoli, G., et al. Hereditary spherocytosis and elliptocytosis associated with prosthetic heart valve replacement: rheological study of erythrocyte modifications.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Int J Hematol.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2009; 89 (3): 285–293.</w:t>
      </w:r>
    </w:p>
    <w:p w14:paraId="78004A4E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18.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Richards P.D., Richards A.A., McKoy M.G., Pepple D.J.  The in vitro effects of sulfadoxine/pyrimethamine and artemether/lumefantrine on the viscoelasticity of erythrocyte membrane of healthy females.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Clin Hemorheol Microcirc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>. 2014; 58 (4): 507–514.</w:t>
      </w:r>
    </w:p>
    <w:p w14:paraId="3E2F9310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19.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Hagley A.C., Younger-Coleman N.O., Richards A.A. The effect of sildenafil on the elasticity of erythrocytes in homozygous sickle cell disease.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Indian J Med Sci.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2011; 65 (6): 243–249.</w:t>
      </w:r>
    </w:p>
    <w:p w14:paraId="4229A90D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20.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Glass G.A., Gershon D., Gershon H. Some characteristics of the human-erythrocyte as a function of donor and cell age.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Exp Hematol.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1985; 13 (11): 1122–1126. </w:t>
      </w:r>
    </w:p>
    <w:p w14:paraId="53472233" w14:textId="77777777" w:rsidR="00B47E74" w:rsidRPr="009B73A3" w:rsidRDefault="00B47E74" w:rsidP="009B73A3">
      <w:pPr>
        <w:pStyle w:val="041B043804420435044004300442044304400430043604430440043D0430043B"/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21.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ab/>
        <w:t xml:space="preserve">Pinkofsky, H.B. The effect of donor age on human erythrocyte density distribution. </w:t>
      </w:r>
      <w:r w:rsidRPr="009B73A3">
        <w:rPr>
          <w:rFonts w:ascii="Times New Roman" w:hAnsi="Times New Roman" w:cs="Times New Roman"/>
          <w:i/>
          <w:iCs/>
          <w:sz w:val="18"/>
          <w:szCs w:val="18"/>
          <w:lang w:val="en-US"/>
        </w:rPr>
        <w:t>Mech Age Dev.</w:t>
      </w:r>
      <w:r w:rsidRPr="009B73A3">
        <w:rPr>
          <w:rFonts w:ascii="Times New Roman" w:hAnsi="Times New Roman" w:cs="Times New Roman"/>
          <w:sz w:val="18"/>
          <w:szCs w:val="18"/>
          <w:lang w:val="en-US"/>
        </w:rPr>
        <w:t xml:space="preserve"> 1997; 97 (1): 73–79. </w:t>
      </w:r>
    </w:p>
    <w:p w14:paraId="6AF7ED7E" w14:textId="77777777" w:rsidR="00B47E74" w:rsidRPr="009B73A3" w:rsidRDefault="00B47E74" w:rsidP="009B73A3">
      <w:pPr>
        <w:pStyle w:val="041E044004330430043D04380437043004460438044F043604430440043D0430043B"/>
        <w:ind w:firstLine="709"/>
        <w:rPr>
          <w:rFonts w:ascii="Times New Roman" w:hAnsi="Times New Roman" w:cs="Times New Roman"/>
          <w:b w:val="0"/>
          <w:bCs w:val="0"/>
          <w:lang w:val="en-US"/>
        </w:rPr>
      </w:pPr>
      <w:r w:rsidRPr="009B73A3">
        <w:rPr>
          <w:rFonts w:ascii="Times New Roman" w:hAnsi="Times New Roman" w:cs="Times New Roman"/>
          <w:b w:val="0"/>
          <w:bCs w:val="0"/>
          <w:lang w:val="en-US"/>
        </w:rPr>
        <w:t>22.</w:t>
      </w:r>
      <w:r w:rsidRPr="009B73A3">
        <w:rPr>
          <w:rFonts w:ascii="Times New Roman" w:hAnsi="Times New Roman" w:cs="Times New Roman"/>
          <w:b w:val="0"/>
          <w:bCs w:val="0"/>
          <w:lang w:val="en-US"/>
        </w:rPr>
        <w:tab/>
        <w:t>Rosencranz R., Bogen S.A. Clinical laboratory measurement of serum, plasma, and blood viscosity. Am J Clin Pathol. 2006; 125 Suppl: S78-S86.</w:t>
      </w:r>
    </w:p>
    <w:p w14:paraId="445EFB5A" w14:textId="77777777" w:rsidR="00B47E74" w:rsidRPr="009B73A3" w:rsidRDefault="00B47E74" w:rsidP="009B73A3">
      <w:pPr>
        <w:pStyle w:val="041E044004330430043D04380437043004460438044F043604430440043D0430043B"/>
        <w:ind w:firstLine="709"/>
        <w:rPr>
          <w:rFonts w:ascii="Times New Roman" w:hAnsi="Times New Roman" w:cs="Times New Roman"/>
          <w:b w:val="0"/>
          <w:bCs w:val="0"/>
          <w:lang w:val="en-US"/>
        </w:rPr>
      </w:pPr>
    </w:p>
    <w:p w14:paraId="0ADD79D9" w14:textId="77777777" w:rsidR="00B47E74" w:rsidRPr="009B73A3" w:rsidRDefault="00B47E74" w:rsidP="009B73A3">
      <w:pPr>
        <w:ind w:firstLine="709"/>
        <w:rPr>
          <w:rFonts w:ascii="Times New Roman" w:hAnsi="Times New Roman" w:cs="Times New Roman"/>
          <w:sz w:val="18"/>
          <w:szCs w:val="18"/>
          <w:lang w:val="en-US"/>
        </w:rPr>
      </w:pPr>
    </w:p>
    <w:p w14:paraId="6D983E9D" w14:textId="77777777" w:rsidR="00B47E74" w:rsidRPr="009B73A3" w:rsidRDefault="00B47E74" w:rsidP="009B73A3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Article received on 8 July, 2015</w:t>
      </w:r>
    </w:p>
    <w:p w14:paraId="04A70380" w14:textId="77777777" w:rsidR="00B47E74" w:rsidRPr="009B73A3" w:rsidRDefault="00B47E74" w:rsidP="009B73A3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For correspondence:</w:t>
      </w:r>
    </w:p>
    <w:p w14:paraId="163DFFB9" w14:textId="607376F4" w:rsidR="00B47E74" w:rsidRPr="009B73A3" w:rsidRDefault="007522A6" w:rsidP="009B73A3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>E</w:t>
      </w:r>
      <w:r w:rsidR="00B47E74" w:rsidRPr="009B73A3">
        <w:rPr>
          <w:rFonts w:ascii="Times New Roman" w:hAnsi="Times New Roman" w:cs="Times New Roman"/>
          <w:sz w:val="18"/>
          <w:szCs w:val="18"/>
          <w:lang w:val="en-US"/>
        </w:rPr>
        <w:t>lena Yev</w:t>
      </w:r>
      <w:r w:rsidR="004E7653">
        <w:rPr>
          <w:rFonts w:ascii="Times New Roman" w:hAnsi="Times New Roman" w:cs="Times New Roman"/>
          <w:sz w:val="18"/>
          <w:szCs w:val="18"/>
          <w:lang w:val="en-US"/>
        </w:rPr>
        <w:t>genyevna Bitkova, Cand. Med. Sc.</w:t>
      </w:r>
      <w:bookmarkStart w:id="0" w:name="_GoBack"/>
      <w:bookmarkEnd w:id="0"/>
    </w:p>
    <w:p w14:paraId="638814DA" w14:textId="77777777" w:rsidR="00B47E74" w:rsidRPr="009B73A3" w:rsidRDefault="00B47E74" w:rsidP="009B73A3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hAnsi="Times New Roman" w:cs="Times New Roman"/>
          <w:sz w:val="18"/>
          <w:szCs w:val="18"/>
          <w:lang w:val="en-US"/>
        </w:rPr>
        <w:t>Senior Researcher of the Laboratory for Transfusion, Conservation of Tissues and Artificial Nutrition</w:t>
      </w:r>
    </w:p>
    <w:p w14:paraId="7694D552" w14:textId="77777777" w:rsidR="00B24561" w:rsidRPr="009B73A3" w:rsidRDefault="00B24561" w:rsidP="009B73A3">
      <w:pPr>
        <w:ind w:firstLine="709"/>
        <w:jc w:val="right"/>
        <w:rPr>
          <w:rFonts w:ascii="Times New Roman" w:hAnsi="Times New Roman" w:cs="Times New Roman"/>
          <w:sz w:val="18"/>
          <w:szCs w:val="18"/>
          <w:lang w:val="en-US"/>
        </w:rPr>
      </w:pPr>
      <w:r w:rsidRPr="009B73A3">
        <w:rPr>
          <w:rFonts w:ascii="Times New Roman" w:eastAsia="Times New Roman" w:hAnsi="Times New Roman" w:cs="Times New Roman"/>
          <w:b/>
          <w:bCs/>
          <w:sz w:val="18"/>
          <w:szCs w:val="18"/>
          <w:lang w:val="en-US" w:eastAsia="ru-RU"/>
        </w:rPr>
        <w:t>N.V. Sklifosovsky Research Institute for Emergency Medicine of</w:t>
      </w:r>
      <w:r w:rsidRPr="009B73A3">
        <w:rPr>
          <w:rFonts w:ascii="Times New Roman" w:eastAsia="Times New Roman" w:hAnsi="Times New Roman" w:cs="Times New Roman"/>
          <w:sz w:val="18"/>
          <w:szCs w:val="18"/>
          <w:lang w:val="en-US" w:eastAsia="ru-RU"/>
        </w:rPr>
        <w:t xml:space="preserve"> the Moscow Healthcare Department, Moscow, Russian</w:t>
      </w:r>
    </w:p>
    <w:sectPr w:rsidR="00B24561" w:rsidRPr="009B73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PT Sans">
    <w:panose1 w:val="020B0503020203020204"/>
    <w:charset w:val="CC"/>
    <w:family w:val="auto"/>
    <w:pitch w:val="variable"/>
    <w:sig w:usb0="A00002EF" w:usb1="5000204B" w:usb2="00000000" w:usb3="00000000" w:csb0="00000097" w:csb1="00000000"/>
  </w:font>
  <w:font w:name="PT Serif">
    <w:panose1 w:val="020A0603040505020204"/>
    <w:charset w:val="00"/>
    <w:family w:val="auto"/>
    <w:pitch w:val="variable"/>
    <w:sig w:usb0="A00002EF" w:usb1="5000204B" w:usb2="00000000" w:usb3="00000000" w:csb0="00000097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798"/>
    <w:rsid w:val="000666DF"/>
    <w:rsid w:val="000B64E6"/>
    <w:rsid w:val="000D189C"/>
    <w:rsid w:val="0010716A"/>
    <w:rsid w:val="00110AC7"/>
    <w:rsid w:val="001A7592"/>
    <w:rsid w:val="001A795E"/>
    <w:rsid w:val="00272B7E"/>
    <w:rsid w:val="0029192A"/>
    <w:rsid w:val="003C68EF"/>
    <w:rsid w:val="00454114"/>
    <w:rsid w:val="0046197C"/>
    <w:rsid w:val="004C5750"/>
    <w:rsid w:val="004D5C81"/>
    <w:rsid w:val="004E7653"/>
    <w:rsid w:val="004F19D9"/>
    <w:rsid w:val="00515D30"/>
    <w:rsid w:val="00587AF4"/>
    <w:rsid w:val="00590ED5"/>
    <w:rsid w:val="005F1670"/>
    <w:rsid w:val="006361E3"/>
    <w:rsid w:val="0066270A"/>
    <w:rsid w:val="007522A6"/>
    <w:rsid w:val="007E4B29"/>
    <w:rsid w:val="00821628"/>
    <w:rsid w:val="00857F79"/>
    <w:rsid w:val="009B73A3"/>
    <w:rsid w:val="00A4001E"/>
    <w:rsid w:val="00A70A04"/>
    <w:rsid w:val="00AD271F"/>
    <w:rsid w:val="00B24561"/>
    <w:rsid w:val="00B47E74"/>
    <w:rsid w:val="00B54CB4"/>
    <w:rsid w:val="00BB6EB0"/>
    <w:rsid w:val="00BC5798"/>
    <w:rsid w:val="00C53223"/>
    <w:rsid w:val="00C55A3B"/>
    <w:rsid w:val="00C761A3"/>
    <w:rsid w:val="00D10FEE"/>
    <w:rsid w:val="00DC2450"/>
    <w:rsid w:val="00FF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7CBB"/>
  <w15:chartTrackingRefBased/>
  <w15:docId w15:val="{C2293301-0BDE-46CF-9374-1BD55CE1C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C57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ranslate">
    <w:name w:val="notranslate"/>
    <w:basedOn w:val="a0"/>
    <w:rsid w:val="00BC5798"/>
  </w:style>
  <w:style w:type="character" w:customStyle="1" w:styleId="google-src-text1">
    <w:name w:val="google-src-text1"/>
    <w:basedOn w:val="a0"/>
    <w:rsid w:val="00BC5798"/>
    <w:rPr>
      <w:vanish/>
      <w:webHidden w:val="0"/>
      <w:specVanish w:val="0"/>
    </w:rPr>
  </w:style>
  <w:style w:type="paragraph" w:customStyle="1" w:styleId="041E044004330430043D04380437043004460438044F043604430440043D0430043B">
    <w:name w:val="&lt;041E&gt;&lt;0440&gt;&lt;0433&gt;&lt;0430&gt;&lt;043D&gt;&lt;0438&gt;&lt;0437&gt;&lt;0430&gt;&lt;0446&gt;&lt;0438&gt;&lt;044F&gt;_&lt;0436&gt;&lt;0443&gt;&lt;0440&gt;&lt;043D&gt;&lt;0430&gt;&lt;043B&gt;"/>
    <w:basedOn w:val="a"/>
    <w:uiPriority w:val="99"/>
    <w:rsid w:val="00B47E74"/>
    <w:pPr>
      <w:autoSpaceDE w:val="0"/>
      <w:autoSpaceDN w:val="0"/>
      <w:adjustRightInd w:val="0"/>
      <w:spacing w:before="57" w:after="0" w:line="220" w:lineRule="atLeast"/>
      <w:textAlignment w:val="center"/>
    </w:pPr>
    <w:rPr>
      <w:rFonts w:ascii="PT Sans" w:eastAsia="Calibri" w:hAnsi="PT Sans" w:cs="PT Sans"/>
      <w:b/>
      <w:bCs/>
      <w:color w:val="000000"/>
      <w:sz w:val="18"/>
      <w:szCs w:val="18"/>
    </w:rPr>
  </w:style>
  <w:style w:type="paragraph" w:customStyle="1" w:styleId="041F043E0434043704300433043E043B043E0432043E043A043604430440043D0430043B">
    <w:name w:val="&lt;041F&gt;&lt;043E&gt;&lt;0434&gt;&lt;0437&gt;&lt;0430&gt;&lt;0433&gt;&lt;043E&gt;&lt;043B&gt;&lt;043E&gt;&lt;0432&gt;&lt;043E&gt;&lt;043A&gt;_&lt;0436&gt;&lt;0443&gt;&lt;0440&gt;&lt;043D&gt;&lt;0430&gt;&lt;043B&gt;"/>
    <w:basedOn w:val="a"/>
    <w:uiPriority w:val="99"/>
    <w:rsid w:val="00B47E74"/>
    <w:pPr>
      <w:suppressAutoHyphens/>
      <w:autoSpaceDE w:val="0"/>
      <w:autoSpaceDN w:val="0"/>
      <w:adjustRightInd w:val="0"/>
      <w:spacing w:before="113" w:after="57" w:line="200" w:lineRule="atLeast"/>
      <w:jc w:val="both"/>
      <w:textAlignment w:val="center"/>
    </w:pPr>
    <w:rPr>
      <w:rFonts w:ascii="PT Sans" w:eastAsia="Calibri" w:hAnsi="PT Sans" w:cs="PT Sans"/>
      <w:b/>
      <w:bCs/>
      <w:caps/>
      <w:color w:val="AA02A3"/>
      <w:sz w:val="16"/>
      <w:szCs w:val="16"/>
    </w:rPr>
  </w:style>
  <w:style w:type="paragraph" w:customStyle="1" w:styleId="041B043804420435044004300442044304400430043604430440043D0430043B">
    <w:name w:val="&lt;041B&gt;&lt;0438&gt;&lt;0442&gt;&lt;0435&gt;&lt;0440&gt;&lt;0430&gt;&lt;0442&gt;&lt;0443&gt;&lt;0440&gt;&lt;0430&gt;_&lt;0436&gt;&lt;0443&gt;&lt;0440&gt;&lt;043D&gt;&lt;0430&gt;&lt;043B&gt;"/>
    <w:basedOn w:val="a"/>
    <w:uiPriority w:val="99"/>
    <w:rsid w:val="00B47E74"/>
    <w:pPr>
      <w:autoSpaceDE w:val="0"/>
      <w:autoSpaceDN w:val="0"/>
      <w:adjustRightInd w:val="0"/>
      <w:spacing w:after="0" w:line="170" w:lineRule="atLeast"/>
      <w:ind w:left="227" w:hanging="227"/>
      <w:jc w:val="both"/>
      <w:textAlignment w:val="center"/>
    </w:pPr>
    <w:rPr>
      <w:rFonts w:ascii="PT Serif" w:eastAsia="Calibri" w:hAnsi="PT Serif" w:cs="PT Serif"/>
      <w:color w:val="000000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5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1182</TotalTime>
  <Pages>3</Pages>
  <Words>3467</Words>
  <Characters>19767</Characters>
  <Application>Microsoft Macintosh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Богопольская</dc:creator>
  <cp:keywords/>
  <dc:description/>
  <cp:lastModifiedBy>Anastasia Dzhioeva</cp:lastModifiedBy>
  <cp:revision>20</cp:revision>
  <dcterms:created xsi:type="dcterms:W3CDTF">2016-04-13T10:31:00Z</dcterms:created>
  <dcterms:modified xsi:type="dcterms:W3CDTF">2016-05-22T12:18:00Z</dcterms:modified>
</cp:coreProperties>
</file>